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FBF76" w14:textId="3B46B6AE" w:rsidR="00A23607" w:rsidRPr="00A1607D" w:rsidRDefault="00A23607" w:rsidP="00A23607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8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4AE0CAE3" w14:textId="77777777" w:rsidR="00A23607" w:rsidRDefault="00A23607" w:rsidP="00A23607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4B92C97C" w:rsidR="009A1090" w:rsidRPr="00A23607" w:rsidRDefault="009A1090" w:rsidP="00A23607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A23607">
        <w:rPr>
          <w:rFonts w:ascii="Arial" w:hAnsi="Arial" w:cs="Arial"/>
          <w:color w:val="000000"/>
          <w:sz w:val="20"/>
          <w:szCs w:val="20"/>
        </w:rPr>
        <w:t>I. Nazwa urządzenia</w:t>
      </w:r>
      <w:r w:rsidRPr="00A23607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BB3784" w:rsidRPr="00A23607">
        <w:rPr>
          <w:rFonts w:ascii="Arial" w:hAnsi="Arial" w:cs="Arial"/>
          <w:b/>
          <w:bCs/>
          <w:color w:val="000000"/>
          <w:sz w:val="20"/>
          <w:szCs w:val="20"/>
        </w:rPr>
        <w:t>Zestaw do badania odpowiedzi chemoreceptorów w teście przejściowej hipoksji - 1 szt.</w:t>
      </w:r>
      <w:r w:rsidR="00A2360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B3784" w:rsidRPr="00A23607">
        <w:rPr>
          <w:rFonts w:ascii="Arial" w:hAnsi="Arial" w:cs="Arial"/>
          <w:bCs/>
          <w:color w:val="000000"/>
          <w:sz w:val="20"/>
          <w:szCs w:val="20"/>
        </w:rPr>
        <w:t>dla Katedry Nauk Przedklinicznych, Farmakologii i Diagnostyki Medycznej</w:t>
      </w:r>
    </w:p>
    <w:p w14:paraId="706DC0DF" w14:textId="13E8A91D" w:rsidR="009A1090" w:rsidRPr="00A23607" w:rsidRDefault="009A1090" w:rsidP="00A23607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A23607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BB3784" w:rsidRPr="00A23607">
        <w:rPr>
          <w:rFonts w:ascii="Arial" w:hAnsi="Arial" w:cs="Arial"/>
          <w:bCs/>
          <w:color w:val="000000"/>
          <w:sz w:val="20"/>
          <w:szCs w:val="20"/>
        </w:rPr>
        <w:t xml:space="preserve">System do ciągłego, nieinwazyjnego monitorowania ciśnienia tętniczego u ludzi (składający się z: kontrolera oraz jednostki pomiarowej w formie modułu umieszczanego na nadgarstku osoby badanej, do której podłączany jest mankiet pomiarowy umieszczany na palcu osoby badanej) wraz z systemem akwizycji i analizy danych, wzmacniaczem różnicowym o niskim poziomie szumów i wysokim wzmocnieniu, specjalnie zaprojektowanym do pomiarów sygnałów biologicznych, w tym EKG, EEG, EMG lub EOG oraz spirometrem opartym o precyzyjny przetwornik różnicowego ciśnienia, współpracujący z </w:t>
      </w:r>
      <w:proofErr w:type="spellStart"/>
      <w:r w:rsidR="00BB3784" w:rsidRPr="00A23607">
        <w:rPr>
          <w:rFonts w:ascii="Arial" w:hAnsi="Arial" w:cs="Arial"/>
          <w:bCs/>
          <w:color w:val="000000"/>
          <w:sz w:val="20"/>
          <w:szCs w:val="20"/>
        </w:rPr>
        <w:t>pneumotachograficzną</w:t>
      </w:r>
      <w:proofErr w:type="spellEnd"/>
      <w:r w:rsidR="00BB3784" w:rsidRPr="00A23607">
        <w:rPr>
          <w:rFonts w:ascii="Arial" w:hAnsi="Arial" w:cs="Arial"/>
          <w:bCs/>
          <w:color w:val="000000"/>
          <w:sz w:val="20"/>
          <w:szCs w:val="20"/>
        </w:rPr>
        <w:t xml:space="preserve"> głowicą przepływu.</w:t>
      </w:r>
    </w:p>
    <w:p w14:paraId="3D8D2D63" w14:textId="77777777" w:rsidR="009A1090" w:rsidRPr="00A23607" w:rsidRDefault="009A1090" w:rsidP="00A23607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23607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C2D682A" w14:textId="77777777" w:rsidR="009A1090" w:rsidRDefault="00AB464F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743097A6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36ADB9" w14:textId="6C34915A" w:rsid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System do ciągłego, nieinwazyjnego monitorowania ciśnienia tętniczego u ludzi</w:t>
            </w:r>
          </w:p>
          <w:p w14:paraId="37B91688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B353C5" w14:textId="548D19E9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Nieinwazyjny, ciągły pomiar ciśnienia tętniczego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 metodą „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volume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clamp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>”.</w:t>
            </w:r>
          </w:p>
          <w:p w14:paraId="15A183F0" w14:textId="48B5315F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Częstotliwość próbkowania: min. 200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  <w:p w14:paraId="704F39B8" w14:textId="721C42E8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Moduł nadgarstkowy </w:t>
            </w:r>
            <w:r>
              <w:rPr>
                <w:rFonts w:ascii="Arial" w:hAnsi="Arial" w:cs="Arial"/>
                <w:sz w:val="18"/>
                <w:szCs w:val="18"/>
              </w:rPr>
              <w:t xml:space="preserve">powinien </w:t>
            </w:r>
            <w:r w:rsidRPr="00A9260E">
              <w:rPr>
                <w:rFonts w:ascii="Arial" w:hAnsi="Arial" w:cs="Arial"/>
                <w:sz w:val="18"/>
                <w:szCs w:val="18"/>
              </w:rPr>
              <w:t>posiada aluminiową obudowę oraz opaskę zapinaną na rzep.</w:t>
            </w:r>
          </w:p>
          <w:p w14:paraId="2A663624" w14:textId="4376041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Wymiary modułu nadgarstkowego nie większe niż 95 x 65 x 40mm, masa modułu nadgarstkowego (bez okablowania i mankietu) nie większa niż 280g.</w:t>
            </w:r>
          </w:p>
          <w:p w14:paraId="2E37C4F1" w14:textId="560ED96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Wymiary kontrolera nie większe niż 60 x 130 x 280mm, masa kontrolera nie większa niż 1,5 kg.</w:t>
            </w:r>
          </w:p>
          <w:p w14:paraId="2C8B1E6E" w14:textId="28442A0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Dołączona wymienna jednostka korekcyjna wartości ciśnienia względem wysokości położenia mankietu palcowego względem serca, działająca w sposób automatyczny.</w:t>
            </w:r>
          </w:p>
          <w:p w14:paraId="701B235F" w14:textId="2E023B9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Dołączone 3 mankiety palcowe, po jednym w rozmiarze: małym (obwód palca 45-55mm), średnim (obwód palca 55-65mm) i dużym (obwód palca 65-75mm).</w:t>
            </w:r>
          </w:p>
          <w:p w14:paraId="5C28E34E" w14:textId="6D7D1772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Mankiety palcowe wielorazowego użytku.</w:t>
            </w:r>
          </w:p>
          <w:p w14:paraId="27A5017A" w14:textId="628DFB52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9.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Maksymalna wartość ciśnienia generowanego w mankiecie 350mmHg.</w:t>
            </w:r>
          </w:p>
          <w:p w14:paraId="00366C82" w14:textId="272ABD32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10.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Dokładność ciśnienia krwi: 1% pełnej skali (maks. 3mmHg).</w:t>
            </w:r>
          </w:p>
          <w:p w14:paraId="42ED59C5" w14:textId="46BDDEDD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Naprzemienny pomiar ciśnienia na dwóch palcach, z wykorzystaniem dwóch mankietów palcowych połączonych do wspólnego modułu nadgarstkowego. </w:t>
            </w:r>
          </w:p>
          <w:p w14:paraId="2699AA4B" w14:textId="286E3936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Monitoring i rejestracja ciśnienia tętniczego w obrębie palca, ciśnienia skurczowego i rozkurczowego, średniego ciśnienia tętniczego, częstości akcji serca, interwałów między kolejnymi uderzeniami serca, pojemności minutowej serca, objętości wyrzutowej serca, całkowitego oporu naczyniowego. </w:t>
            </w:r>
          </w:p>
          <w:p w14:paraId="7026CB4C" w14:textId="30E0C20B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lastRenderedPageBreak/>
              <w:t>13.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Możliwość ciągłego, bezpośredniego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przesyłu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danych do komputera.</w:t>
            </w:r>
          </w:p>
          <w:p w14:paraId="1B520A76" w14:textId="6C195EE4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Niezbędne okablowanie w tym kabel umożliwiający połączenie urządzenia z komputerem (USB) oraz kabel zasilający. </w:t>
            </w:r>
          </w:p>
          <w:p w14:paraId="3568216B" w14:textId="351A91B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Moduł oprogramowania umożliwiający bezpośrednią, dwukierunkową komunikację urządzenia z komputerem. </w:t>
            </w:r>
          </w:p>
          <w:p w14:paraId="76D6C376" w14:textId="011284E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Zgodność z normami: EN 60601-1-2 + A1, CAN/CSA-C22.2 No. 60601-1:08, ANSI/AAMI ES60601-1:2005</w:t>
            </w:r>
            <w:r>
              <w:rPr>
                <w:rFonts w:ascii="Arial" w:hAnsi="Arial" w:cs="Arial"/>
                <w:sz w:val="18"/>
                <w:szCs w:val="18"/>
              </w:rPr>
              <w:t xml:space="preserve"> lub równoważnymi.</w:t>
            </w:r>
          </w:p>
          <w:p w14:paraId="28156B8C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System akwizycji danych składający się z cyfrowego urządzenia oraz dedykowanego oprogramowania (</w:t>
            </w:r>
            <w:proofErr w:type="gramStart"/>
            <w:r w:rsidRPr="00A9260E">
              <w:rPr>
                <w:rFonts w:ascii="Arial" w:hAnsi="Arial" w:cs="Arial"/>
                <w:sz w:val="18"/>
                <w:szCs w:val="18"/>
              </w:rPr>
              <w:t>cyfrowe urządzeniem</w:t>
            </w:r>
            <w:proofErr w:type="gramEnd"/>
            <w:r w:rsidRPr="00A9260E">
              <w:rPr>
                <w:rFonts w:ascii="Arial" w:hAnsi="Arial" w:cs="Arial"/>
                <w:sz w:val="18"/>
                <w:szCs w:val="18"/>
              </w:rPr>
              <w:t xml:space="preserve"> do akwizycji danych stanowiące rdzeń modułowego systemu umożlwiającego synchronizację danych z różnych urządzeń pomiarowych i ich przesyłanie do platformy programowej, która pozwala na zarządzanie danymi pomiarowymi, ich analizę oraz wizualizację wyników)</w:t>
            </w:r>
          </w:p>
          <w:p w14:paraId="58CBA011" w14:textId="577ADFFC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System korzysta z interfejsu USB-C do komunikacji z komputerem i innymi urządzeniami.</w:t>
            </w:r>
          </w:p>
          <w:p w14:paraId="16C88D96" w14:textId="251D2DA5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2.Posiada 4 identyczne porty USB-C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downstream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z obsługą funkcji Power Delivery (USB-PD) do podłączenia urządzeń z interfejsem USB-C, takich jak interfejsy frontowe – umożliwia integrację danych z maksymalnie czterech urządzeń USB-C zgodnych z serią C.</w:t>
            </w:r>
          </w:p>
          <w:p w14:paraId="26EC6C11" w14:textId="4711073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Posiada dwa porty USB-C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upstream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z obsługą funkcji Power Delivery (USB-PD): jeden do połączenia z komputerem (komputer wymaga interfejsu USB 2.0), a drugi do opcjonalnego zasilania (tzw.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Aux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Power Port).</w:t>
            </w:r>
          </w:p>
          <w:p w14:paraId="56FA80F8" w14:textId="2B3C1EC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Urządzenie zasilane na trzy sposoby: kablem zasilania sieciowego, z laptopa lub z przenośnego akumulatora (jeśli obsługują standard USB-PD).</w:t>
            </w:r>
          </w:p>
          <w:p w14:paraId="63329E28" w14:textId="56055EC6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Posiada złącze uziemiania zgodne z normą DIN42801</w:t>
            </w:r>
            <w:r>
              <w:rPr>
                <w:rFonts w:ascii="Arial" w:hAnsi="Arial" w:cs="Arial"/>
                <w:sz w:val="18"/>
                <w:szCs w:val="18"/>
              </w:rPr>
              <w:t xml:space="preserve"> lub równoważną.</w:t>
            </w:r>
          </w:p>
          <w:p w14:paraId="27EA4C3C" w14:textId="3009FE15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Posiada dwa wskaźniki LED na panelu przednim: LED Power informujący o źródle zasilania urządzenia oraz LED Status informujący o aktualnym stanie urządzenia.</w:t>
            </w:r>
          </w:p>
          <w:p w14:paraId="627B5C42" w14:textId="66CD2B31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Posiada funkcję adaptacyjnej filtracji sieciowej (zasilanie sieciowe) zapewniającą redukcję zakłóceń elektromagnetycznych z sieci elektrycznej, </w:t>
            </w:r>
          </w:p>
          <w:p w14:paraId="318F2E3D" w14:textId="37997E1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Oferuje możliwość synchronizacji czasu (na poziomie poniżej µS) i danych pomiarowych między różnymi urządzeniami zgodnymi z serią C w laboratorium. </w:t>
            </w:r>
          </w:p>
          <w:p w14:paraId="5CEDA0F7" w14:textId="66AF8319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9.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Możliwość rozbudowy od min. jednokanałowego systemu do 32 kanałów pomiarowych. </w:t>
            </w:r>
          </w:p>
          <w:p w14:paraId="23451686" w14:textId="58745516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10.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Wymagania operacyjne:</w:t>
            </w:r>
          </w:p>
          <w:p w14:paraId="2C7DD0A6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-Zakres napięcia zasilania: min. 100-240 V AC, 50/60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  <w:p w14:paraId="71BA2C18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-Moc znamionowa: min. 400 VA</w:t>
            </w:r>
          </w:p>
          <w:p w14:paraId="0E3A92FA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-Prąd upływu: &lt;250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μA</w:t>
            </w:r>
            <w:proofErr w:type="spellEnd"/>
          </w:p>
          <w:p w14:paraId="782536D7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-Prąd dotykowy: &lt;100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μA</w:t>
            </w:r>
            <w:proofErr w:type="spellEnd"/>
          </w:p>
          <w:p w14:paraId="46B5D4E2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-Warunki pracy: 5-35 °C, wilgotność 0-90% (bez kondensacji)</w:t>
            </w:r>
          </w:p>
          <w:p w14:paraId="48B4C8D4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-Wysokość: do 2000 m n.p.m.</w:t>
            </w:r>
          </w:p>
          <w:p w14:paraId="5A8947FA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-Ciśnienie atmosferyczne: 70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kPa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- 106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kPa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9B2F4A" w14:textId="1632AFF8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Wymiary nie większe niż: 75 mm x 245 mm x 265 mm, masa nie większa niż: 3 kg.</w:t>
            </w:r>
          </w:p>
          <w:p w14:paraId="5F72122E" w14:textId="4D73F50F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Dostarczany wraz z kablami: USB-C do USB-C (1m) oraz USB-C do USB-A (1m).</w:t>
            </w:r>
          </w:p>
          <w:p w14:paraId="363068EB" w14:textId="6B6CD09B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13.</w:t>
            </w:r>
            <w:r w:rsidR="00C174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Zgodność z normą IEC60601-1</w:t>
            </w:r>
            <w:r>
              <w:rPr>
                <w:rFonts w:ascii="Arial" w:hAnsi="Arial" w:cs="Arial"/>
                <w:sz w:val="18"/>
                <w:szCs w:val="18"/>
              </w:rPr>
              <w:t xml:space="preserve"> lub równoważną.</w:t>
            </w:r>
          </w:p>
          <w:p w14:paraId="7A35E306" w14:textId="60C240D5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lastRenderedPageBreak/>
              <w:t>14.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Kompatybilność z systemem operacyjnym Windows.</w:t>
            </w:r>
          </w:p>
          <w:p w14:paraId="00534D5A" w14:textId="43DC0A2D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Automatyczne rozpoznawanie urządzeń opisanych w punktach III, IV, V i VI.</w:t>
            </w:r>
          </w:p>
          <w:p w14:paraId="16CB2607" w14:textId="0B18F2E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Wykonywanie analiz w systemie online oraz offline.</w:t>
            </w:r>
          </w:p>
          <w:p w14:paraId="0A7E9418" w14:textId="42C311DB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Nagrywanie i wyświetlanie do co najmniej 32 kanałów pomiarowych.</w:t>
            </w:r>
          </w:p>
          <w:p w14:paraId="35040B62" w14:textId="5F96D50E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18.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Podgląd sygnału wejściowego w celu optymalizacji parametrów zapisu.</w:t>
            </w:r>
          </w:p>
          <w:p w14:paraId="77357024" w14:textId="7AC581F0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19.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Konwersja jednostek.</w:t>
            </w:r>
          </w:p>
          <w:p w14:paraId="581C1AAD" w14:textId="36827F32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20.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Ustawianie parametrów zapisu i wyświetlania danych niezależnie w każdym kanale pomiarowym.</w:t>
            </w:r>
          </w:p>
          <w:p w14:paraId="49383397" w14:textId="58C5A90C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Rozpoczęcie/zakończenie rejestracji danych możliwe przez zewnętrzny sygnał wyzwalający lub stymulator.</w:t>
            </w:r>
          </w:p>
          <w:p w14:paraId="0C201268" w14:textId="5563054B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Dodawanie komentarzy podczas zapisu danych lub offline.</w:t>
            </w:r>
          </w:p>
          <w:p w14:paraId="456EDE7F" w14:textId="655FD489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Możliwość dodawania predefiniowanych komentarzy poprzez skróty klawiszowe.</w:t>
            </w:r>
          </w:p>
          <w:p w14:paraId="495A8940" w14:textId="7062ECB6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Funkcja spektrum (w oparciu o komputerową Szybką Transformatę Fouriera).</w:t>
            </w:r>
          </w:p>
          <w:p w14:paraId="3150314B" w14:textId="485CEB22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Funkcje kalkulacji danych w poszczególnych kanałach pomiarowych zarówno online jak i offline, w tym: obliczenia algebraiczne, trygonometryczne, logarytmiczne, pochodne pierwszego i drugiego rzędu, całki, analiza cyklicznych przebiegów fali (obliczenie średniej, min., max.).</w:t>
            </w:r>
          </w:p>
          <w:p w14:paraId="6C7FEA4D" w14:textId="577D530D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Filtry sprzętowe i cyfrowe w tym: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-pass, high-pass,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notch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narrow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band-pass, band-pass oraz band-stop (możliwość stosowania online i offline).</w:t>
            </w:r>
          </w:p>
          <w:p w14:paraId="024C86EF" w14:textId="4AA7DCBF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Wersja oprogramowania obejmująca wszystkie dostępne moduły analityczne umożliwiająca szybką i zaawansowaną analizę różnego rodzaju sygnałów.</w:t>
            </w:r>
          </w:p>
          <w:p w14:paraId="4CE13526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Bioamplifier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wraz z elektrodami (wzmacniacz różnicowy o niskim poziomie szumów i wysokim wzmocnieniu, specjalnie zaprojektowany do pomiarów sygnałów biologicznych, w tym EKG, EEG, EMG lub EOG).</w:t>
            </w:r>
          </w:p>
          <w:p w14:paraId="76C0C0BB" w14:textId="4FE138E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Impedancja wejściowa: &gt;1 GΩ (różnicowa), &lt;100pF (bez kabla) lub ~ 500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pF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(przy użyciu kabla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Bio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Amp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i przewodów łączących) do odizolowanego uziemienia.</w:t>
            </w:r>
          </w:p>
          <w:p w14:paraId="5BAEB32D" w14:textId="6021FD9F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CMRR: &gt;100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typowo (zrównoważona impedancja elektrod przy 50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i 60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581CBF41" w14:textId="405DCF71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Zakresy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wzmocniania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: ±100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μV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do ±100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pełna skala w 10 krokach (w połączeniu z urządzeniem do akwizycji danych).</w:t>
            </w:r>
          </w:p>
          <w:p w14:paraId="61E20EC2" w14:textId="1E7E5C3E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Dokładność wzmocnienia: ±1,5% wszystkie zakresy.</w:t>
            </w:r>
          </w:p>
          <w:p w14:paraId="385D02C4" w14:textId="16AC3EFC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Filtry sterowane programowo:</w:t>
            </w:r>
          </w:p>
          <w:p w14:paraId="633FEE52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-dolnoprzepustowe (50, 100, 200, 500, 1000, 2000, 5000, 10000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, Off), </w:t>
            </w:r>
          </w:p>
          <w:p w14:paraId="26A6A6D1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-górnoprzepustowe (D.C., 0.0003, 0.001, 0.003, 0.01, 0.03, 0.1, 0.3, 1, 3,10, 30, 100, 200, 300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625A7066" w14:textId="3C816185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-wycinający częstotliwość sieci energetycznej (50 lub 60Hz).</w:t>
            </w:r>
          </w:p>
          <w:p w14:paraId="4296D60A" w14:textId="4A86FF9C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Konfiguracja wejściowa: 1 izolowany kanał różnicowy z izolowaną masą odniesienia.  </w:t>
            </w:r>
          </w:p>
          <w:p w14:paraId="2F9E276F" w14:textId="72D98870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Pełna izolacja elektryczna od obwodów sieci zasilającej</w:t>
            </w:r>
          </w:p>
          <w:p w14:paraId="615B9315" w14:textId="1DD078FE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Wzmacniacz w zestawie z: </w:t>
            </w:r>
          </w:p>
          <w:p w14:paraId="11266A98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-3-żyłowy ekranowany kabel do wzmacniacza biologicznego,</w:t>
            </w:r>
          </w:p>
          <w:p w14:paraId="09D3F428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-ekranowane przewody z końcówkami zatrzaskowymi do podłączania elektrod jednorazowych (3 sztuki),</w:t>
            </w:r>
          </w:p>
          <w:p w14:paraId="234A5915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-interfejs serii C do podłączenia z cyfrowym urządzeniem do akwizycji opisanym w punkcie II </w:t>
            </w:r>
          </w:p>
          <w:p w14:paraId="76483718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-elektrody EKG jednorazowe (opakowanie 1000 szt.)</w:t>
            </w:r>
          </w:p>
          <w:p w14:paraId="4B7683F6" w14:textId="569A7A0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9.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Zgodność z normą: IEC 60601-1:2012 oraz IEC 60601-1-2:2014</w:t>
            </w:r>
            <w:r>
              <w:rPr>
                <w:rFonts w:ascii="Arial" w:hAnsi="Arial" w:cs="Arial"/>
                <w:sz w:val="18"/>
                <w:szCs w:val="18"/>
              </w:rPr>
              <w:t xml:space="preserve"> lub równoważnymi.</w:t>
            </w:r>
          </w:p>
          <w:p w14:paraId="1CB1521B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Spirometr wraz z akcesoriami (oparty o precyzyjny przetwornik różnicowego ciśnienia, współpracujący z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pneumotachograficzną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głowicą przepływu w celu pomiaru przepływu oraz objętości powietrza wdychanego i wydychanego).</w:t>
            </w:r>
          </w:p>
          <w:p w14:paraId="59A79233" w14:textId="54E43CD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Zakres pracy pozwalający na pomiary od bardzo niskich przepływów (np. gryzonie) do przepływów rzędu 1000 L/min (u dorosłych ludzi podczas wysiłku) zależnie od zastosowanej głowicy.</w:t>
            </w:r>
          </w:p>
          <w:p w14:paraId="0CA097CE" w14:textId="27955ACA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Programowo sterowane zerowanie w celu usunięcia offsetu.</w:t>
            </w:r>
          </w:p>
          <w:p w14:paraId="07EC752F" w14:textId="5A54F450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Typ połączenia: dwa żeńskie złącza typu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Luer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połączone z głowicą przepływową za pomocą plastikowych rurek. </w:t>
            </w:r>
          </w:p>
          <w:p w14:paraId="15583A28" w14:textId="5790D665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Zakres pomiarowy: ±1" H</w:t>
            </w:r>
            <w:r w:rsidRPr="00A9260E">
              <w:rPr>
                <w:rFonts w:ascii="Cambria Math" w:hAnsi="Cambria Math" w:cs="Cambria Math"/>
                <w:sz w:val="18"/>
                <w:szCs w:val="18"/>
              </w:rPr>
              <w:t>₂</w:t>
            </w:r>
            <w:r w:rsidRPr="00A9260E">
              <w:rPr>
                <w:rFonts w:ascii="Arial" w:hAnsi="Arial" w:cs="Arial"/>
                <w:sz w:val="18"/>
                <w:szCs w:val="18"/>
              </w:rPr>
              <w:t>O.</w:t>
            </w:r>
          </w:p>
          <w:p w14:paraId="74BBDF34" w14:textId="7B25ABAF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Zakresy wzmocnienia: ±20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do ±500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w 5 krokach (w połączeniu z urządzeniem do akwizycji danych).</w:t>
            </w:r>
          </w:p>
          <w:p w14:paraId="666EC373" w14:textId="5DD29190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6.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Maksymalne ciśnienie wejściowe: ±28,1 cala H</w:t>
            </w:r>
            <w:r w:rsidRPr="00A9260E">
              <w:rPr>
                <w:rFonts w:ascii="Cambria Math" w:hAnsi="Cambria Math" w:cs="Cambria Math"/>
                <w:sz w:val="18"/>
                <w:szCs w:val="18"/>
              </w:rPr>
              <w:t>₂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O (7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kPa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24D12D4" w14:textId="60E1FD7E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7.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Dryft temperaturowy: 0,05% pełnej skali na °C.</w:t>
            </w:r>
          </w:p>
          <w:p w14:paraId="21D8391E" w14:textId="5C96B3CD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Czas odpowiedzi: 1 ms (10–90% pełnej skali).</w:t>
            </w:r>
          </w:p>
          <w:p w14:paraId="7F13EF2A" w14:textId="7739F3E1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9.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Czas nagrzewania: ~2 minuty.</w:t>
            </w:r>
          </w:p>
          <w:p w14:paraId="3ACB1219" w14:textId="1D9EA54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10.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Filtry dolnoprzepustowe 1, 10 i 100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 (wybierane programowo), filtr Bessela czwartego rzędu.</w:t>
            </w:r>
          </w:p>
          <w:p w14:paraId="1B821C08" w14:textId="53BFC15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Spirometr dostarczany wraz z: </w:t>
            </w:r>
          </w:p>
          <w:p w14:paraId="697A154D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 głowica przepływowa o maksymalnym przepływie 300 L/min</w:t>
            </w:r>
          </w:p>
          <w:p w14:paraId="0B90263C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 rura oddechowa</w:t>
            </w:r>
          </w:p>
          <w:p w14:paraId="3417778E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 maski oddechowe dla dorosłych (1 x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rozm</w:t>
            </w:r>
            <w:proofErr w:type="spellEnd"/>
            <w:r w:rsidRPr="00A9260E">
              <w:rPr>
                <w:rFonts w:ascii="Arial" w:hAnsi="Arial" w:cs="Arial"/>
                <w:sz w:val="18"/>
                <w:szCs w:val="18"/>
              </w:rPr>
              <w:t xml:space="preserve">. M i 1 </w:t>
            </w:r>
            <w:proofErr w:type="gramStart"/>
            <w:r w:rsidRPr="00A9260E">
              <w:rPr>
                <w:rFonts w:ascii="Arial" w:hAnsi="Arial" w:cs="Arial"/>
                <w:sz w:val="18"/>
                <w:szCs w:val="18"/>
              </w:rPr>
              <w:t xml:space="preserve">x  </w:t>
            </w:r>
            <w:proofErr w:type="spellStart"/>
            <w:r w:rsidRPr="00A9260E">
              <w:rPr>
                <w:rFonts w:ascii="Arial" w:hAnsi="Arial" w:cs="Arial"/>
                <w:sz w:val="18"/>
                <w:szCs w:val="18"/>
              </w:rPr>
              <w:t>rozm</w:t>
            </w:r>
            <w:proofErr w:type="spellEnd"/>
            <w:proofErr w:type="gramEnd"/>
            <w:r w:rsidRPr="00A9260E">
              <w:rPr>
                <w:rFonts w:ascii="Arial" w:hAnsi="Arial" w:cs="Arial"/>
                <w:sz w:val="18"/>
                <w:szCs w:val="18"/>
              </w:rPr>
              <w:t>. S)</w:t>
            </w:r>
          </w:p>
          <w:p w14:paraId="03525F6D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- adaptery umożliwiające stabilne połączenie spirometru z pozostałymi elementami modułu spirometrii</w:t>
            </w:r>
          </w:p>
          <w:p w14:paraId="0A238E1A" w14:textId="77777777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 xml:space="preserve">- interfejs serii C do podłączenia z cyfrowym urządzeniem do akwizycji opisanym w punkcie </w:t>
            </w:r>
            <w:proofErr w:type="gramStart"/>
            <w:r w:rsidRPr="00A9260E">
              <w:rPr>
                <w:rFonts w:ascii="Arial" w:hAnsi="Arial" w:cs="Arial"/>
                <w:sz w:val="18"/>
                <w:szCs w:val="18"/>
              </w:rPr>
              <w:t>II .</w:t>
            </w:r>
            <w:proofErr w:type="gramEnd"/>
          </w:p>
          <w:p w14:paraId="110F2317" w14:textId="1EC135E3" w:rsidR="00A9260E" w:rsidRPr="00A9260E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>Automatyczne rozpoznawanie modułu spirometrii przez oprogramowanie systemu akwizycji danych opisane w punkcie II oraz możliwość pełnej konfiguracji i analizy danych w trybie online i offline.</w:t>
            </w:r>
          </w:p>
          <w:p w14:paraId="0D9DF46C" w14:textId="5960188B" w:rsidR="00F745F9" w:rsidRPr="00F745F9" w:rsidRDefault="00A9260E" w:rsidP="00C174F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60E">
              <w:rPr>
                <w:rFonts w:ascii="Arial" w:hAnsi="Arial" w:cs="Arial"/>
                <w:sz w:val="18"/>
                <w:szCs w:val="18"/>
              </w:rPr>
              <w:t>13.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60E">
              <w:rPr>
                <w:rFonts w:ascii="Arial" w:hAnsi="Arial" w:cs="Arial"/>
                <w:sz w:val="18"/>
                <w:szCs w:val="18"/>
              </w:rPr>
              <w:t xml:space="preserve">Możliwość rejestrowania takich parametrów oddechowych jak: VE, VT, PIF, PEF, FVC i FEV1.   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29AD2D60" w:rsidR="009A1090" w:rsidRDefault="00AB464F" w:rsidP="003323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się następującymi parametrami:</w:t>
            </w:r>
          </w:p>
          <w:p w14:paraId="2459408D" w14:textId="52A236B2" w:rsid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FD332DB" w14:textId="77777777" w:rsidR="00A9260E" w:rsidRPr="00AB464F" w:rsidRDefault="00A9260E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B80DFC9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33232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</w:t>
            </w:r>
          </w:p>
          <w:p w14:paraId="2AA1842D" w14:textId="6DD1E116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33232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</w:t>
            </w:r>
          </w:p>
          <w:p w14:paraId="11586E98" w14:textId="4F3D265D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33232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</w:t>
            </w:r>
          </w:p>
          <w:p w14:paraId="08977232" w14:textId="2745D2AC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33232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</w:t>
            </w:r>
          </w:p>
          <w:p w14:paraId="3504ABC0" w14:textId="06E1FB14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33232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7B4B3BEB" w14:textId="618FAD82" w:rsidR="00357BB6" w:rsidRPr="0033232E" w:rsidRDefault="009A1090" w:rsidP="0033232E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0F1B2F85" w:rsidR="009A1090" w:rsidRDefault="00C174FF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236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037EECBB" w14:textId="6A837A4E" w:rsidR="00A23607" w:rsidRDefault="009A1090" w:rsidP="00A23607">
            <w:pPr>
              <w:pStyle w:val="Tekstpodstawowy31"/>
              <w:spacing w:after="0" w:line="240" w:lineRule="auto"/>
              <w:ind w:left="285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C84A52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A23607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</w:p>
          <w:p w14:paraId="08D41D81" w14:textId="4681FACA" w:rsidR="009A1090" w:rsidRPr="0023138F" w:rsidRDefault="009A1090" w:rsidP="00A23607">
            <w:pPr>
              <w:pStyle w:val="Tekstpodstawowy31"/>
              <w:spacing w:after="0" w:line="240" w:lineRule="auto"/>
              <w:ind w:left="285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321FEEE8" w:rsidR="009A1090" w:rsidRPr="0023138F" w:rsidRDefault="009A1090" w:rsidP="00A23607">
            <w:pPr>
              <w:pStyle w:val="Tekstpodstawowy31"/>
              <w:tabs>
                <w:tab w:val="left" w:pos="370"/>
              </w:tabs>
              <w:spacing w:after="0" w:line="240" w:lineRule="auto"/>
              <w:ind w:left="285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0819A9" w:rsidRPr="00192471">
              <w:rPr>
                <w:rFonts w:ascii="Arial" w:hAnsi="Arial"/>
                <w:color w:val="000000"/>
                <w:szCs w:val="18"/>
              </w:rPr>
              <w:t xml:space="preserve">dostarczona oraz zainstalowana </w:t>
            </w:r>
            <w:r w:rsidR="00525797" w:rsidRPr="00192471">
              <w:rPr>
                <w:rFonts w:ascii="Arial" w:hAnsi="Arial"/>
                <w:color w:val="000000"/>
                <w:szCs w:val="18"/>
              </w:rPr>
              <w:t xml:space="preserve">i </w:t>
            </w:r>
            <w:proofErr w:type="gramStart"/>
            <w:r w:rsidR="00525797" w:rsidRPr="00192471">
              <w:rPr>
                <w:rFonts w:ascii="Arial" w:hAnsi="Arial"/>
                <w:color w:val="000000"/>
                <w:szCs w:val="18"/>
              </w:rPr>
              <w:t>uruchomiona</w:t>
            </w:r>
            <w:r w:rsidR="000819A9" w:rsidRPr="00192471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192471">
              <w:rPr>
                <w:rFonts w:ascii="Arial" w:hAnsi="Arial"/>
                <w:b/>
                <w:color w:val="000000"/>
                <w:szCs w:val="18"/>
              </w:rPr>
              <w:t xml:space="preserve"> w</w:t>
            </w:r>
            <w:proofErr w:type="gramEnd"/>
            <w:r w:rsidRPr="00192471">
              <w:rPr>
                <w:rFonts w:ascii="Arial" w:hAnsi="Arial"/>
                <w:b/>
                <w:color w:val="000000"/>
                <w:szCs w:val="18"/>
              </w:rPr>
              <w:t xml:space="preserve"> budynku</w:t>
            </w:r>
            <w:r w:rsidR="00C84A52" w:rsidRPr="00192471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A9260E" w:rsidRPr="00192471">
              <w:rPr>
                <w:rFonts w:ascii="Arial" w:hAnsi="Arial"/>
                <w:b/>
                <w:color w:val="000000"/>
                <w:szCs w:val="18"/>
              </w:rPr>
              <w:t>T2</w:t>
            </w:r>
            <w:r w:rsidR="000819A9" w:rsidRPr="00192471">
              <w:rPr>
                <w:rFonts w:ascii="Arial" w:hAnsi="Arial"/>
                <w:b/>
                <w:color w:val="000000"/>
                <w:szCs w:val="18"/>
              </w:rPr>
              <w:t xml:space="preserve">, </w:t>
            </w:r>
            <w:r w:rsidR="00A9260E" w:rsidRPr="00192471">
              <w:rPr>
                <w:rFonts w:ascii="Arial" w:hAnsi="Arial"/>
                <w:b/>
                <w:color w:val="000000"/>
                <w:szCs w:val="18"/>
              </w:rPr>
              <w:t>pokój nr 22</w:t>
            </w:r>
            <w:r w:rsidR="00C84A52" w:rsidRPr="00192471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192471">
              <w:rPr>
                <w:rFonts w:ascii="Arial" w:hAnsi="Arial"/>
                <w:color w:val="000000"/>
                <w:szCs w:val="18"/>
              </w:rPr>
              <w:t>Politechniki Wrocławskiej.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6233E486" w14:textId="4E5895E8" w:rsidR="009A1090" w:rsidRDefault="009A1090" w:rsidP="00A23607">
            <w:pPr>
              <w:pStyle w:val="Tekstpodstawowy31"/>
              <w:spacing w:after="0" w:line="240" w:lineRule="auto"/>
              <w:ind w:left="285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A9260E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A23607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BD2E402" w14:textId="53604A78" w:rsidR="00EA250C" w:rsidRPr="00A0748E" w:rsidRDefault="009A1090" w:rsidP="00A23607">
            <w:pPr>
              <w:spacing w:after="0" w:line="240" w:lineRule="auto"/>
              <w:ind w:left="285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A23607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A236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3B24DAB5" w14:textId="0906FC6C" w:rsidR="009A1090" w:rsidRPr="00A23607" w:rsidRDefault="009A1090" w:rsidP="00EE4D0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C6973A4" w14:textId="3752DFAB" w:rsidR="009A1090" w:rsidRPr="00A23607" w:rsidRDefault="009A1090" w:rsidP="00EE4D0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BD6FD21" w14:textId="1B91C5FE" w:rsidR="009A1090" w:rsidRPr="00A23607" w:rsidRDefault="009A1090" w:rsidP="00EE4D0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9BC38E7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6E8E7D9E" w14:textId="77777777" w:rsidR="00A23607" w:rsidRDefault="00A23607" w:rsidP="00A23607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B75FC39" w14:textId="77777777" w:rsidR="00A23607" w:rsidRDefault="00A23607" w:rsidP="00A23607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285A1137" w14:textId="77777777" w:rsidR="00A23607" w:rsidRDefault="00A23607" w:rsidP="00A2360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22534439" w:rsidR="00A23607" w:rsidRDefault="00A23607" w:rsidP="00A2360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13F28189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4E1DD5D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0E1CFE9F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8ECF680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6FBD99DD" w:rsidR="00CE1ACA" w:rsidRPr="009C31FC" w:rsidRDefault="00A23607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36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do badania odpowiedzi chemoreceptorów w teście przejściowej hipoksji</w:t>
            </w:r>
          </w:p>
        </w:tc>
        <w:tc>
          <w:tcPr>
            <w:tcW w:w="3543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A23607" w:rsidRPr="008D4393" w14:paraId="627C3720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ACDA927" w14:textId="3476D61E" w:rsidR="00A23607" w:rsidRPr="00C65CE7" w:rsidRDefault="00A23607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4EDF2ADD" w14:textId="399DCD1B" w:rsidR="00A23607" w:rsidRPr="008D4393" w:rsidRDefault="00A23607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4E00FC10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F74CD7" w14:textId="0B84DE89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14:paraId="324BAC13" w14:textId="77777777" w:rsidR="00CE1ACA" w:rsidRDefault="00CE1AC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C1511D2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FCF8555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0AE9" w14:textId="77777777" w:rsidR="00FE2A4F" w:rsidRDefault="00FE2A4F">
      <w:pPr>
        <w:spacing w:after="0" w:line="240" w:lineRule="auto"/>
      </w:pPr>
      <w:r>
        <w:separator/>
      </w:r>
    </w:p>
  </w:endnote>
  <w:endnote w:type="continuationSeparator" w:id="0">
    <w:p w14:paraId="21A75D1C" w14:textId="77777777" w:rsidR="00FE2A4F" w:rsidRDefault="00FE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40A97" w14:textId="77777777" w:rsidR="00FE2A4F" w:rsidRDefault="00FE2A4F">
      <w:pPr>
        <w:spacing w:after="0" w:line="240" w:lineRule="auto"/>
      </w:pPr>
      <w:r>
        <w:separator/>
      </w:r>
    </w:p>
  </w:footnote>
  <w:footnote w:type="continuationSeparator" w:id="0">
    <w:p w14:paraId="1597F609" w14:textId="77777777" w:rsidR="00FE2A4F" w:rsidRDefault="00FE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010935">
    <w:abstractNumId w:val="2"/>
  </w:num>
  <w:num w:numId="2" w16cid:durableId="526605306">
    <w:abstractNumId w:val="7"/>
  </w:num>
  <w:num w:numId="3" w16cid:durableId="654575121">
    <w:abstractNumId w:val="0"/>
  </w:num>
  <w:num w:numId="4" w16cid:durableId="1545603012">
    <w:abstractNumId w:val="6"/>
  </w:num>
  <w:num w:numId="5" w16cid:durableId="465319388">
    <w:abstractNumId w:val="3"/>
  </w:num>
  <w:num w:numId="6" w16cid:durableId="1216351691">
    <w:abstractNumId w:val="1"/>
  </w:num>
  <w:num w:numId="7" w16cid:durableId="1786004839">
    <w:abstractNumId w:val="4"/>
  </w:num>
  <w:num w:numId="8" w16cid:durableId="990136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104ABE"/>
    <w:rsid w:val="0011134B"/>
    <w:rsid w:val="00192471"/>
    <w:rsid w:val="001E43A4"/>
    <w:rsid w:val="00234484"/>
    <w:rsid w:val="0026341B"/>
    <w:rsid w:val="002C26A1"/>
    <w:rsid w:val="0033232E"/>
    <w:rsid w:val="00357BB6"/>
    <w:rsid w:val="00376BAC"/>
    <w:rsid w:val="00385747"/>
    <w:rsid w:val="003F019F"/>
    <w:rsid w:val="00436338"/>
    <w:rsid w:val="0045198D"/>
    <w:rsid w:val="0046732B"/>
    <w:rsid w:val="004712AF"/>
    <w:rsid w:val="004A75FF"/>
    <w:rsid w:val="004F514B"/>
    <w:rsid w:val="005205B2"/>
    <w:rsid w:val="00525797"/>
    <w:rsid w:val="005561C2"/>
    <w:rsid w:val="00574E02"/>
    <w:rsid w:val="006200CE"/>
    <w:rsid w:val="00622341"/>
    <w:rsid w:val="00691DA8"/>
    <w:rsid w:val="006B1F25"/>
    <w:rsid w:val="007B1F5A"/>
    <w:rsid w:val="008D217D"/>
    <w:rsid w:val="008E3C44"/>
    <w:rsid w:val="00960C6F"/>
    <w:rsid w:val="00967326"/>
    <w:rsid w:val="00980991"/>
    <w:rsid w:val="009A1090"/>
    <w:rsid w:val="009A32B5"/>
    <w:rsid w:val="009D6DB5"/>
    <w:rsid w:val="00A23607"/>
    <w:rsid w:val="00A9260E"/>
    <w:rsid w:val="00AB464F"/>
    <w:rsid w:val="00B417DE"/>
    <w:rsid w:val="00B61ED6"/>
    <w:rsid w:val="00BB3784"/>
    <w:rsid w:val="00BF1724"/>
    <w:rsid w:val="00C174FF"/>
    <w:rsid w:val="00C512FD"/>
    <w:rsid w:val="00C84A52"/>
    <w:rsid w:val="00CA24A8"/>
    <w:rsid w:val="00CB6392"/>
    <w:rsid w:val="00CE1ACA"/>
    <w:rsid w:val="00CE3EF3"/>
    <w:rsid w:val="00D86AC6"/>
    <w:rsid w:val="00D86FB8"/>
    <w:rsid w:val="00DE2CAB"/>
    <w:rsid w:val="00E15D42"/>
    <w:rsid w:val="00E665A7"/>
    <w:rsid w:val="00E8452D"/>
    <w:rsid w:val="00EA250C"/>
    <w:rsid w:val="00EB71A0"/>
    <w:rsid w:val="00EC1E11"/>
    <w:rsid w:val="00F34DDF"/>
    <w:rsid w:val="00F42521"/>
    <w:rsid w:val="00F6664B"/>
    <w:rsid w:val="00F745F9"/>
    <w:rsid w:val="00FE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3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1704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2</cp:revision>
  <cp:lastPrinted>2025-11-25T10:16:00Z</cp:lastPrinted>
  <dcterms:created xsi:type="dcterms:W3CDTF">2026-02-19T12:25:00Z</dcterms:created>
  <dcterms:modified xsi:type="dcterms:W3CDTF">2026-02-19T12:25:00Z</dcterms:modified>
</cp:coreProperties>
</file>